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1B3CD8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  <w:bookmarkStart w:id="0" w:name="_GoBack"/>
      <w:bookmarkEnd w:id="0"/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7A97D4E7" w:rsidR="00BB7846" w:rsidRDefault="00392370" w:rsidP="00392370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392370">
        <w:rPr>
          <w:rFonts w:cs="Arial"/>
          <w:color w:val="000000"/>
          <w:kern w:val="0"/>
          <w:lang w:val="es-MX" w:eastAsia="es-MX"/>
        </w:rPr>
        <w:t>Asegurar que las áreas de TI cuentan con capacidad suficiente para satisfacer los requerimientos tecnológicos, instalaciones, personal actual y futuro en la Organización.</w:t>
      </w:r>
    </w:p>
    <w:p w14:paraId="0C2475CF" w14:textId="77777777" w:rsidR="00392370" w:rsidRPr="00392370" w:rsidRDefault="00392370" w:rsidP="00392370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39973223" w:rsidR="00E8237D" w:rsidRPr="00106BD9" w:rsidRDefault="00106BD9" w:rsidP="00106BD9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106BD9">
        <w:rPr>
          <w:rFonts w:cs="Arial"/>
          <w:lang w:val="es-MX"/>
        </w:rPr>
        <w:t>Aplica para el personal de TI responsable de realizar las actividades de monitoreo y disponibilidad de la capacidad en los servicios de TI, así como los reportes de operación y continuidad de los servicios (infraestructura, base de datos y cómputo) y correo electrónico de la Organización.</w:t>
      </w:r>
    </w:p>
    <w:p w14:paraId="43A5750D" w14:textId="77777777" w:rsidR="00106BD9" w:rsidRPr="00106BD9" w:rsidRDefault="00106BD9" w:rsidP="00106BD9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13E64E55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  <w:r w:rsidR="007267E7">
        <w:rPr>
          <w:rFonts w:cs="Arial"/>
          <w:b/>
          <w:bCs/>
          <w:sz w:val="22"/>
          <w:lang w:val="es-MX"/>
        </w:rPr>
        <w:t xml:space="preserve"> y desarrollo</w:t>
      </w:r>
    </w:p>
    <w:p w14:paraId="3B74B5F7" w14:textId="4DBA8162" w:rsidR="008726ED" w:rsidRPr="00CA7845" w:rsidRDefault="007267E7" w:rsidP="00CA784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b/>
          <w:lang w:val="es-MX"/>
        </w:rPr>
        <w:t>Realización del plan de capacidad.</w:t>
      </w:r>
    </w:p>
    <w:p w14:paraId="015B1547" w14:textId="77777777" w:rsidR="00174728" w:rsidRPr="00174728" w:rsidRDefault="00174728" w:rsidP="00174728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174728">
        <w:rPr>
          <w:lang w:val="es-MX"/>
        </w:rPr>
        <w:t>Cada responsable de área debe realizar/actualizar el plan de capacidad correspondiente a los procesos a su cargo.</w:t>
      </w:r>
    </w:p>
    <w:p w14:paraId="1E4BF353" w14:textId="77777777" w:rsidR="00174728" w:rsidRPr="00174728" w:rsidRDefault="00174728" w:rsidP="00CB234E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174728">
        <w:rPr>
          <w:lang w:val="es-MX"/>
        </w:rPr>
        <w:t>El plan de capacidad deberá estar alineado a los proyectos, objetivos de la Organización y los acuerdos de nivel de servicio.</w:t>
      </w:r>
    </w:p>
    <w:p w14:paraId="62C28946" w14:textId="77777777" w:rsidR="00174728" w:rsidRDefault="00174728" w:rsidP="00CB234E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174728">
        <w:rPr>
          <w:lang w:val="es-MX"/>
        </w:rPr>
        <w:t>Antes de realizar el plan se deberá hacer un análisis del rendimiento actual del equipo, instalaciones y el personal del área, el cual debe incluir lo siguiente:</w:t>
      </w:r>
    </w:p>
    <w:p w14:paraId="6428E949" w14:textId="77777777" w:rsidR="003178B9" w:rsidRPr="003178B9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Recursos incluidos en el análisis</w:t>
      </w:r>
    </w:p>
    <w:p w14:paraId="108A828B" w14:textId="77777777" w:rsidR="003178B9" w:rsidRPr="003178B9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Resumen de la capacidad de los recursos para satisfacer las demandas actuales</w:t>
      </w:r>
    </w:p>
    <w:p w14:paraId="2CBECCFD" w14:textId="77777777" w:rsidR="003178B9" w:rsidRPr="003178B9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Indicar los principales problemas en el rendimiento actual de los recursos</w:t>
      </w:r>
    </w:p>
    <w:p w14:paraId="2ECACC1F" w14:textId="77777777" w:rsidR="003178B9" w:rsidRPr="003178B9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Incluir los periodos vacacionales</w:t>
      </w:r>
    </w:p>
    <w:p w14:paraId="7C409F8F" w14:textId="6B632265" w:rsidR="002A67F6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Instalacione</w:t>
      </w:r>
      <w:r w:rsidR="006064B0">
        <w:rPr>
          <w:lang w:val="es-MX"/>
        </w:rPr>
        <w:t>s</w:t>
      </w:r>
    </w:p>
    <w:p w14:paraId="7F0D1E40" w14:textId="77777777" w:rsidR="006064B0" w:rsidRPr="003178B9" w:rsidRDefault="006064B0" w:rsidP="00CB234E">
      <w:pPr>
        <w:pStyle w:val="Prrafodelista"/>
        <w:overflowPunct/>
        <w:autoSpaceDE/>
        <w:autoSpaceDN/>
        <w:adjustRightInd/>
        <w:spacing w:before="100" w:beforeAutospacing="1" w:after="240"/>
        <w:ind w:left="2520"/>
        <w:jc w:val="both"/>
        <w:textAlignment w:val="auto"/>
        <w:rPr>
          <w:lang w:val="es-MX"/>
        </w:rPr>
      </w:pPr>
    </w:p>
    <w:p w14:paraId="5526F0BB" w14:textId="77777777" w:rsidR="006064B0" w:rsidRDefault="006064B0" w:rsidP="00CB234E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6064B0">
        <w:rPr>
          <w:lang w:val="es-MX"/>
        </w:rPr>
        <w:t>Una vez que se conozca el rendimiento actual se deberán identificar los requerimientos futuros, alineados a los proyectos de la Organización, considerando lo siguiente:</w:t>
      </w:r>
    </w:p>
    <w:p w14:paraId="663DF2CE" w14:textId="77777777" w:rsidR="00D3244B" w:rsidRDefault="00D3244B" w:rsidP="00CB234E">
      <w:pPr>
        <w:pStyle w:val="Prrafodelista"/>
        <w:ind w:left="1800"/>
        <w:jc w:val="both"/>
        <w:rPr>
          <w:lang w:val="es-MX"/>
        </w:rPr>
      </w:pPr>
    </w:p>
    <w:p w14:paraId="02500A94" w14:textId="77777777" w:rsidR="00D3244B" w:rsidRPr="00D3244B" w:rsidRDefault="00D3244B" w:rsidP="00CB234E">
      <w:pPr>
        <w:pStyle w:val="Prrafodelista"/>
        <w:numPr>
          <w:ilvl w:val="0"/>
          <w:numId w:val="13"/>
        </w:numPr>
        <w:jc w:val="both"/>
        <w:rPr>
          <w:lang w:val="es-MX"/>
        </w:rPr>
      </w:pPr>
      <w:r w:rsidRPr="00D3244B">
        <w:rPr>
          <w:lang w:val="es-MX"/>
        </w:rPr>
        <w:t>Servicios/proyectos futuros</w:t>
      </w:r>
    </w:p>
    <w:p w14:paraId="53B282DE" w14:textId="77777777" w:rsidR="00D3244B" w:rsidRPr="00D3244B" w:rsidRDefault="00D3244B" w:rsidP="00CB234E">
      <w:pPr>
        <w:pStyle w:val="Prrafodelista"/>
        <w:numPr>
          <w:ilvl w:val="0"/>
          <w:numId w:val="13"/>
        </w:numPr>
        <w:jc w:val="both"/>
        <w:rPr>
          <w:lang w:val="es-MX"/>
        </w:rPr>
      </w:pPr>
      <w:r w:rsidRPr="00D3244B">
        <w:rPr>
          <w:lang w:val="es-MX"/>
        </w:rPr>
        <w:t>Para cada servicio/proyecto indicar la proyección de capacidad y rendimiento</w:t>
      </w:r>
    </w:p>
    <w:p w14:paraId="025353D9" w14:textId="77777777" w:rsidR="00D3244B" w:rsidRPr="00D3244B" w:rsidRDefault="00D3244B" w:rsidP="00CB234E">
      <w:pPr>
        <w:pStyle w:val="Prrafodelista"/>
        <w:numPr>
          <w:ilvl w:val="0"/>
          <w:numId w:val="13"/>
        </w:numPr>
        <w:jc w:val="both"/>
        <w:rPr>
          <w:lang w:val="es-MX"/>
        </w:rPr>
      </w:pPr>
      <w:r w:rsidRPr="00D3244B">
        <w:rPr>
          <w:lang w:val="es-MX"/>
        </w:rPr>
        <w:t>Indicar la capacidad y rendimiento proyectado para los recursos que soportan el servicio/soporte de TI</w:t>
      </w:r>
    </w:p>
    <w:p w14:paraId="0F8BF48D" w14:textId="1DC81EEB" w:rsidR="006064B0" w:rsidRDefault="00D3244B" w:rsidP="00CB234E">
      <w:pPr>
        <w:pStyle w:val="Prrafodelista"/>
        <w:numPr>
          <w:ilvl w:val="0"/>
          <w:numId w:val="13"/>
        </w:numPr>
        <w:jc w:val="both"/>
        <w:rPr>
          <w:lang w:val="es-MX"/>
        </w:rPr>
      </w:pPr>
      <w:r w:rsidRPr="00D3244B">
        <w:rPr>
          <w:lang w:val="es-MX"/>
        </w:rPr>
        <w:t>Indicar los requisitos técnicos, financieros y humanos para soportar la demanda requerida</w:t>
      </w:r>
    </w:p>
    <w:p w14:paraId="3BE05C7A" w14:textId="77777777" w:rsidR="006E683A" w:rsidRPr="00D3244B" w:rsidRDefault="006E683A" w:rsidP="00CB234E">
      <w:pPr>
        <w:pStyle w:val="Prrafodelista"/>
        <w:ind w:left="2520"/>
        <w:jc w:val="both"/>
        <w:rPr>
          <w:lang w:val="es-MX"/>
        </w:rPr>
      </w:pPr>
    </w:p>
    <w:p w14:paraId="7805DD5B" w14:textId="77777777" w:rsidR="006E683A" w:rsidRDefault="006E683A" w:rsidP="00CB234E">
      <w:pPr>
        <w:pStyle w:val="Prrafodelista"/>
        <w:numPr>
          <w:ilvl w:val="3"/>
          <w:numId w:val="2"/>
        </w:numPr>
        <w:jc w:val="both"/>
        <w:rPr>
          <w:lang w:val="es-MX"/>
        </w:rPr>
      </w:pPr>
      <w:r w:rsidRPr="006E683A">
        <w:rPr>
          <w:lang w:val="es-MX"/>
        </w:rPr>
        <w:t>El análisis se deberá proyectar considerando el corto, mediano y largo plazo.</w:t>
      </w:r>
    </w:p>
    <w:p w14:paraId="0F525BBD" w14:textId="77777777" w:rsidR="00CB234E" w:rsidRPr="006E683A" w:rsidRDefault="00CB234E" w:rsidP="00CB234E">
      <w:pPr>
        <w:pStyle w:val="Prrafodelista"/>
        <w:ind w:left="2160"/>
        <w:jc w:val="both"/>
        <w:rPr>
          <w:lang w:val="es-MX"/>
        </w:rPr>
      </w:pPr>
    </w:p>
    <w:p w14:paraId="3E9DF3E0" w14:textId="76EEBAAA" w:rsidR="00FD2AC3" w:rsidRPr="00FD2AC3" w:rsidRDefault="00CB234E" w:rsidP="00FD2AC3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CB234E">
        <w:rPr>
          <w:lang w:val="es-MX"/>
        </w:rPr>
        <w:t>Conociendo el rendimiento actual y los requerimientos futuros ya sea de equipo y/o personal cada responsable deberá llenar el plan de capacidad.</w:t>
      </w:r>
    </w:p>
    <w:p w14:paraId="1D9EF74D" w14:textId="7DCC8B8D" w:rsidR="00FD2AC3" w:rsidRPr="00FD2AC3" w:rsidRDefault="00FD2AC3" w:rsidP="00FD2AC3">
      <w:pPr>
        <w:numPr>
          <w:ilvl w:val="3"/>
          <w:numId w:val="2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FD2AC3">
        <w:rPr>
          <w:lang w:val="es-MX"/>
        </w:rPr>
        <w:t>El plan de capacidad deberá ser presentado a la Dirección General quien revisará y dará su visto bueno.</w:t>
      </w:r>
    </w:p>
    <w:p w14:paraId="7652A0D9" w14:textId="5F84926E" w:rsidR="00FD2AC3" w:rsidRPr="00FD2AC3" w:rsidRDefault="00FD2AC3" w:rsidP="00FD2AC3">
      <w:pPr>
        <w:numPr>
          <w:ilvl w:val="3"/>
          <w:numId w:val="2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FD2AC3">
        <w:rPr>
          <w:lang w:val="es-MX"/>
        </w:rPr>
        <w:t>El plan de capacidad deberá realizarse/actualizarse antes de la autorización del presupuesto anual.</w:t>
      </w:r>
    </w:p>
    <w:p w14:paraId="62B71DB3" w14:textId="615ED05C" w:rsidR="00F61F05" w:rsidRDefault="00FD2AC3" w:rsidP="00FD2AC3">
      <w:pPr>
        <w:numPr>
          <w:ilvl w:val="3"/>
          <w:numId w:val="2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FD2AC3">
        <w:rPr>
          <w:lang w:val="es-MX"/>
        </w:rPr>
        <w:t>El plan de capacidad deberá ser modificado de acuerdo con lo autorizado en el presupuesto anual.</w:t>
      </w:r>
    </w:p>
    <w:p w14:paraId="3595F501" w14:textId="77777777" w:rsidR="00FD2AC3" w:rsidRDefault="00FD2AC3" w:rsidP="00FD2AC3">
      <w:p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</w:p>
    <w:p w14:paraId="6E806FAD" w14:textId="77777777" w:rsidR="00FD2AC3" w:rsidRDefault="00FD2AC3" w:rsidP="00FD2AC3">
      <w:p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</w:p>
    <w:p w14:paraId="08C68285" w14:textId="49EB0714" w:rsidR="00FD2AC3" w:rsidRPr="008F4C11" w:rsidRDefault="008F4C11" w:rsidP="00A96206">
      <w:pPr>
        <w:numPr>
          <w:ilvl w:val="1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b/>
          <w:bCs/>
          <w:lang w:val="es-MX"/>
        </w:rPr>
      </w:pPr>
      <w:r w:rsidRPr="008F4C11">
        <w:rPr>
          <w:b/>
          <w:bCs/>
          <w:lang w:val="es-MX"/>
        </w:rPr>
        <w:lastRenderedPageBreak/>
        <w:t>Monitoreo del plan de capacidad</w:t>
      </w:r>
    </w:p>
    <w:p w14:paraId="2FB820EC" w14:textId="77777777" w:rsidR="00D523FE" w:rsidRPr="00D523FE" w:rsidRDefault="00D523FE" w:rsidP="00A96206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rPr>
          <w:lang w:val="es-MX"/>
        </w:rPr>
      </w:pPr>
      <w:r w:rsidRPr="00D523FE">
        <w:rPr>
          <w:lang w:val="es-MX"/>
        </w:rPr>
        <w:t>Es responsabilidad de encargados de área realizar los registros de monitoreo:</w:t>
      </w:r>
    </w:p>
    <w:p w14:paraId="1684CD5A" w14:textId="5F1F622D" w:rsidR="00A96206" w:rsidRPr="00A96206" w:rsidRDefault="00A96206" w:rsidP="00A96206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A96206">
        <w:rPr>
          <w:lang w:val="es-MX"/>
        </w:rPr>
        <w:t xml:space="preserve">Monitoreo de capacidad de equipo de cómputo se presentará cada 12 meses. Deberá ser gestionado por un sistema que monitoree los recursos y envíe alertas cuando estos alcancen los umbrales que restrinjan su operación en los próximos 3 meses. </w:t>
      </w:r>
    </w:p>
    <w:p w14:paraId="31D92821" w14:textId="3BB6DB28" w:rsidR="00A96206" w:rsidRPr="00022CAE" w:rsidRDefault="00A96206" w:rsidP="00022C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A96206">
        <w:rPr>
          <w:lang w:val="es-MX"/>
        </w:rPr>
        <w:t>Monitoreo de capacidad de personal e instalaciones cada 12 meses.</w:t>
      </w:r>
    </w:p>
    <w:p w14:paraId="30FF9D89" w14:textId="77777777" w:rsidR="00022CAE" w:rsidRPr="00022CAE" w:rsidRDefault="00022CAE" w:rsidP="00520ECF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022CAE">
        <w:rPr>
          <w:lang w:val="es-MX"/>
        </w:rPr>
        <w:t>Al alcanzar alguno de los umbrales, los Coordinadores de área deberán realizar acciones para liberar recursos o incrementar la capacidad afectada.</w:t>
      </w:r>
    </w:p>
    <w:p w14:paraId="5F7AF9F7" w14:textId="77777777" w:rsidR="00520ECF" w:rsidRPr="00520ECF" w:rsidRDefault="00520ECF" w:rsidP="004F1BE7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520ECF">
        <w:rPr>
          <w:lang w:val="es-MX"/>
        </w:rPr>
        <w:t>En caso de requerir aumentar la capacidad se deberá presentar un informe indicado la descripción de la propuesta, el costo asociado y las condiciones especiales (cuando aplique).</w:t>
      </w:r>
    </w:p>
    <w:p w14:paraId="094807FB" w14:textId="58CB3777" w:rsidR="00F61F05" w:rsidRDefault="004F1BE7" w:rsidP="004F1BE7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rPr>
          <w:lang w:val="es-MX"/>
        </w:rPr>
      </w:pPr>
      <w:r w:rsidRPr="004F1BE7">
        <w:rPr>
          <w:lang w:val="es-MX"/>
        </w:rPr>
        <w:t>De manera anual (de acuerdo con el calendario fiscal) cada área deberá evaluar la capacidad del periodo y realizar un reporte de los resultados obtenidos durante el año.</w:t>
      </w:r>
    </w:p>
    <w:p w14:paraId="4ADF8BA4" w14:textId="77777777" w:rsidR="004F1BE7" w:rsidRPr="004F1BE7" w:rsidRDefault="004F1BE7" w:rsidP="004F1BE7">
      <w:pPr>
        <w:pStyle w:val="Prrafodelista"/>
        <w:spacing w:beforeLines="60" w:before="144" w:afterLines="60" w:after="144"/>
        <w:ind w:left="1800"/>
        <w:contextualSpacing w:val="0"/>
        <w:rPr>
          <w:sz w:val="22"/>
          <w:szCs w:val="22"/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53E30BDF" w14:textId="687DE8FB" w:rsidR="004F1BE7" w:rsidRDefault="004F1BE7" w:rsidP="004F1BE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4F1BE7">
        <w:rPr>
          <w:rFonts w:cs="Arial"/>
          <w:b/>
          <w:bCs/>
          <w:sz w:val="22"/>
          <w:szCs w:val="22"/>
          <w:lang w:val="es-MX"/>
        </w:rPr>
        <w:t>Glosario</w:t>
      </w:r>
    </w:p>
    <w:p w14:paraId="1B0C596B" w14:textId="77777777" w:rsidR="00497C50" w:rsidRPr="00497C50" w:rsidRDefault="00497C50" w:rsidP="00497C50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497C50">
        <w:rPr>
          <w:rFonts w:cs="Arial"/>
          <w:b/>
          <w:bCs/>
          <w:lang w:val="es-MX"/>
        </w:rPr>
        <w:t>Gestión de la capacidad:</w:t>
      </w:r>
      <w:r w:rsidRPr="00497C50">
        <w:rPr>
          <w:rFonts w:cs="Arial"/>
          <w:lang w:val="es-MX"/>
        </w:rPr>
        <w:t xml:space="preserve"> Garantiza que todos los servicios de TI estén respaldados por una capacidad de procesamiento, almacenamiento suficiente y correctamente dimensionada.</w:t>
      </w:r>
    </w:p>
    <w:p w14:paraId="4A890DBC" w14:textId="4FB5FD2F" w:rsidR="004F1BE7" w:rsidRPr="00497C50" w:rsidRDefault="00497C50" w:rsidP="00497C50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497C50">
        <w:rPr>
          <w:rFonts w:cs="Arial"/>
          <w:b/>
          <w:bCs/>
          <w:lang w:val="es-MX"/>
        </w:rPr>
        <w:t>SLA:</w:t>
      </w:r>
      <w:r w:rsidRPr="00497C50">
        <w:rPr>
          <w:rFonts w:cs="Arial"/>
          <w:lang w:val="es-MX"/>
        </w:rPr>
        <w:t xml:space="preserve"> Acuerdo de Nivel de Servicio (por sus siglas en inglés).</w:t>
      </w:r>
    </w:p>
    <w:p w14:paraId="5D4EBEC5" w14:textId="77777777" w:rsidR="004F1BE7" w:rsidRPr="004F1BE7" w:rsidRDefault="004F1BE7" w:rsidP="004F1BE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149FB348" w14:textId="1FCC53E6" w:rsidR="004F1BE7" w:rsidRPr="004F1BE7" w:rsidRDefault="004F1BE7" w:rsidP="004F1BE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4F1BE7">
        <w:rPr>
          <w:rFonts w:cs="Arial"/>
          <w:b/>
          <w:bCs/>
          <w:sz w:val="22"/>
          <w:szCs w:val="22"/>
          <w:lang w:val="es-MX"/>
        </w:rPr>
        <w:t>Anexos</w:t>
      </w:r>
    </w:p>
    <w:p w14:paraId="3D713E99" w14:textId="1FF40CE8" w:rsidR="004F1BE7" w:rsidRPr="00E8237D" w:rsidRDefault="004F1BE7" w:rsidP="004F1BE7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4F1BE7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31503" w14:textId="77777777" w:rsidR="00466265" w:rsidRDefault="00466265">
      <w:r>
        <w:separator/>
      </w:r>
    </w:p>
  </w:endnote>
  <w:endnote w:type="continuationSeparator" w:id="0">
    <w:p w14:paraId="43287704" w14:textId="77777777" w:rsidR="00466265" w:rsidRDefault="0046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7EB343C5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1B3CD8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1B3CD8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1B3CD8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2D26CEBD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1B3CD8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1B3CD8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C459B" w14:textId="77777777" w:rsidR="00466265" w:rsidRDefault="00466265">
      <w:r>
        <w:separator/>
      </w:r>
    </w:p>
  </w:footnote>
  <w:footnote w:type="continuationSeparator" w:id="0">
    <w:p w14:paraId="50507C1F" w14:textId="77777777" w:rsidR="00466265" w:rsidRDefault="0046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466265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1B3CD8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466265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466265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1B3CD8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0061CBFE" w:rsidR="00F855EF" w:rsidRPr="00CA7845" w:rsidRDefault="001B3CD8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1B3CD8">
            <w:rPr>
              <w:color w:val="000000" w:themeColor="text1"/>
              <w:lang w:val="es-MX"/>
            </w:rPr>
            <w:t>XMI-A28-POL-18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C97DD46" w:rsidR="00F855EF" w:rsidRPr="00CA7845" w:rsidRDefault="001B3CD8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CA7845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168A406F" w:rsidR="00F855EF" w:rsidRPr="00CA7845" w:rsidRDefault="001B3CD8" w:rsidP="00872C12">
          <w:pPr>
            <w:jc w:val="center"/>
            <w:rPr>
              <w:color w:val="000000" w:themeColor="text1"/>
              <w:lang w:val="es-MX"/>
            </w:rPr>
          </w:pPr>
          <w:r w:rsidRPr="001B3CD8">
            <w:rPr>
              <w:color w:val="000000" w:themeColor="text1"/>
              <w:lang w:val="es-MX"/>
            </w:rPr>
            <w:t>Gestión de la Capacidad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4EA9414C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1B3CD8">
      <w:rPr>
        <w:b/>
        <w:color w:val="000000" w:themeColor="text1"/>
        <w:lang w:val="es-MX"/>
      </w:rPr>
      <w:t>42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84D40"/>
    <w:multiLevelType w:val="hybridMultilevel"/>
    <w:tmpl w:val="B83C60DA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0" w15:restartNumberingAfterBreak="0">
    <w:nsid w:val="7AF139E7"/>
    <w:multiLevelType w:val="hybridMultilevel"/>
    <w:tmpl w:val="0770927E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2CAE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06BD9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74728"/>
    <w:rsid w:val="0018335F"/>
    <w:rsid w:val="001932C1"/>
    <w:rsid w:val="001A16B4"/>
    <w:rsid w:val="001B3CD8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A67F6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178B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237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6265"/>
    <w:rsid w:val="00467F91"/>
    <w:rsid w:val="00475516"/>
    <w:rsid w:val="00477C4E"/>
    <w:rsid w:val="00487660"/>
    <w:rsid w:val="00495065"/>
    <w:rsid w:val="00495C86"/>
    <w:rsid w:val="00497C50"/>
    <w:rsid w:val="004B265C"/>
    <w:rsid w:val="004B6402"/>
    <w:rsid w:val="004B7B80"/>
    <w:rsid w:val="004C229D"/>
    <w:rsid w:val="004C3F4D"/>
    <w:rsid w:val="004D1E20"/>
    <w:rsid w:val="004D37F0"/>
    <w:rsid w:val="004D62EA"/>
    <w:rsid w:val="004F1BE7"/>
    <w:rsid w:val="004F471C"/>
    <w:rsid w:val="005175FE"/>
    <w:rsid w:val="00520ECF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64B0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E683A"/>
    <w:rsid w:val="006F6A78"/>
    <w:rsid w:val="007009B6"/>
    <w:rsid w:val="00704F15"/>
    <w:rsid w:val="00712727"/>
    <w:rsid w:val="00712958"/>
    <w:rsid w:val="00713F41"/>
    <w:rsid w:val="00720799"/>
    <w:rsid w:val="007267E7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8F4C11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206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34E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3244B"/>
    <w:rsid w:val="00D43BEE"/>
    <w:rsid w:val="00D50DC7"/>
    <w:rsid w:val="00D523FE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48B3"/>
    <w:rsid w:val="00FA7C4B"/>
    <w:rsid w:val="00FB1053"/>
    <w:rsid w:val="00FB249F"/>
    <w:rsid w:val="00FC17C9"/>
    <w:rsid w:val="00FD2AC3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591</Words>
  <Characters>3253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22</cp:revision>
  <cp:lastPrinted>2025-09-11T19:01:00Z</cp:lastPrinted>
  <dcterms:created xsi:type="dcterms:W3CDTF">2025-11-03T20:15:00Z</dcterms:created>
  <dcterms:modified xsi:type="dcterms:W3CDTF">2025-11-19T23:54:00Z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